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Change Team Checklist 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Executive Sponsor or Project Champion identified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Notes: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Change Lead assigned—will serve as team coordinator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At least one functional (frontline) expert consulted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Trusted informal influencer(s) involved or recruited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(Optional) External advisor/consultant sourced for expertise gaps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Roles have clear primary AND backup coverage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Decision rights for each role spelled out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Regular team meeting and update cadence scheduled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Psychological safety ground rules agreed upon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ungsuh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120" w:before="120" w:lineRule="auto"/>
      <w:rPr>
        <w:rFonts w:ascii="Roboto" w:cs="Roboto" w:eastAsia="Roboto" w:hAnsi="Roboto"/>
        <w:sz w:val="24"/>
        <w:szCs w:val="24"/>
      </w:rPr>
    </w:pPr>
    <w:r w:rsidDel="00000000" w:rsidR="00000000" w:rsidRPr="00000000">
      <w:rPr>
        <w:rFonts w:ascii="Roboto" w:cs="Roboto" w:eastAsia="Roboto" w:hAnsi="Roboto"/>
        <w:sz w:val="24"/>
        <w:szCs w:val="24"/>
        <w:rtl w:val="0"/>
      </w:rPr>
      <w:t xml:space="preserve">Complete this checklist before you move forward. If something’s missing, pause and fill the gap. - </w:t>
    </w:r>
    <w:r w:rsidDel="00000000" w:rsidR="00000000" w:rsidRPr="00000000">
      <w:rPr>
        <w:rFonts w:ascii="Gungsuh" w:cs="Gungsuh" w:eastAsia="Gungsuh" w:hAnsi="Gungsuh"/>
        <w:i w:val="1"/>
        <w:iCs w:val="1"/>
        <w:color w:val="202122"/>
        <w:sz w:val="24"/>
        <w:szCs w:val="24"/>
        <w:highlight w:val="white"/>
        <w:rtl w:val="0"/>
      </w:rPr>
      <w:t xml:space="preserve">Ⓒ Enterprise Pursuits, 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-95249</wp:posOffset>
          </wp:positionV>
          <wp:extent cx="5943600" cy="12573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257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